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AE3" w:rsidRPr="006D4AE3" w:rsidRDefault="006D4AE3" w:rsidP="006D4AE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D4AE3">
        <w:rPr>
          <w:b/>
          <w:bCs/>
          <w:color w:val="333333"/>
          <w:sz w:val="28"/>
          <w:szCs w:val="28"/>
        </w:rPr>
        <w:t>Ответственность за использование чужой банковской карты</w:t>
      </w:r>
      <w:bookmarkEnd w:id="0"/>
    </w:p>
    <w:p w:rsidR="006D4AE3" w:rsidRDefault="006D4AE3" w:rsidP="006D4AE3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Использование чужой банковской карты, обнаруженной где-либо, категорически запрещено. 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Аналогично квалифицируется списание денег со счета потерпевшего с применением похищенной банковской карты.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или без такового.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порядке судебного разбирательства.</w:t>
      </w:r>
    </w:p>
    <w:p w:rsidR="00EA6DB4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814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07E04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2021-09-29T04:24:00Z</dcterms:created>
  <dcterms:modified xsi:type="dcterms:W3CDTF">2021-10-04T03:32:00Z</dcterms:modified>
</cp:coreProperties>
</file>